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9355"/>
      </w:tblGrid>
      <w:tr w:rsidR="007545B0" w:rsidTr="007545B0">
        <w:trPr>
          <w:cantSplit/>
          <w:trHeight w:val="2257"/>
          <w:jc w:val="center"/>
        </w:trPr>
        <w:tc>
          <w:tcPr>
            <w:tcW w:w="10870" w:type="dxa"/>
          </w:tcPr>
          <w:p w:rsidR="007545B0" w:rsidRDefault="007545B0">
            <w:pPr>
              <w:pStyle w:val="a00"/>
              <w:ind w:left="5117"/>
              <w:rPr>
                <w:rFonts w:ascii="Times New Roman" w:hAnsi="Times New Roman"/>
              </w:rPr>
            </w:pPr>
            <w:r>
              <w:rPr>
                <w:rFonts w:ascii="Times New Roman" w:hAnsi="Times New Roman"/>
              </w:rPr>
              <w:t xml:space="preserve">Вносится депутатами Государственной Думы </w:t>
            </w:r>
          </w:p>
          <w:p w:rsidR="007545B0" w:rsidRDefault="007545B0">
            <w:pPr>
              <w:pStyle w:val="a00"/>
              <w:ind w:left="0"/>
              <w:rPr>
                <w:rFonts w:ascii="Times New Roman" w:hAnsi="Times New Roman"/>
              </w:rPr>
            </w:pPr>
            <w:r>
              <w:rPr>
                <w:rFonts w:ascii="Times New Roman" w:hAnsi="Times New Roman"/>
              </w:rPr>
              <w:t xml:space="preserve">                                                                         С.М. Мироновым, М.В. Емельяновым, </w:t>
            </w:r>
          </w:p>
          <w:p w:rsidR="007545B0" w:rsidRDefault="007545B0">
            <w:pPr>
              <w:pStyle w:val="a00"/>
              <w:ind w:left="0"/>
              <w:rPr>
                <w:rFonts w:ascii="Times New Roman" w:hAnsi="Times New Roman"/>
              </w:rPr>
            </w:pPr>
            <w:r>
              <w:rPr>
                <w:rFonts w:ascii="Times New Roman" w:hAnsi="Times New Roman"/>
              </w:rPr>
              <w:t xml:space="preserve">                                                                         Н.В. </w:t>
            </w:r>
            <w:proofErr w:type="spellStart"/>
            <w:r>
              <w:rPr>
                <w:rFonts w:ascii="Times New Roman" w:hAnsi="Times New Roman"/>
              </w:rPr>
              <w:t>Левичевым</w:t>
            </w:r>
            <w:proofErr w:type="spellEnd"/>
            <w:r>
              <w:rPr>
                <w:rFonts w:ascii="Times New Roman" w:hAnsi="Times New Roman"/>
              </w:rPr>
              <w:t xml:space="preserve">, Т.Н. </w:t>
            </w:r>
            <w:proofErr w:type="spellStart"/>
            <w:r>
              <w:rPr>
                <w:rFonts w:ascii="Times New Roman" w:hAnsi="Times New Roman"/>
              </w:rPr>
              <w:t>Москальковой</w:t>
            </w:r>
            <w:proofErr w:type="spellEnd"/>
          </w:p>
          <w:p w:rsidR="007545B0" w:rsidRDefault="007545B0">
            <w:pPr>
              <w:pStyle w:val="a00"/>
              <w:rPr>
                <w:rFonts w:ascii="Times New Roman" w:hAnsi="Times New Roman"/>
              </w:rPr>
            </w:pPr>
          </w:p>
          <w:p w:rsidR="007545B0" w:rsidRDefault="007545B0">
            <w:pPr>
              <w:pStyle w:val="a00"/>
              <w:rPr>
                <w:rFonts w:ascii="Times New Roman" w:hAnsi="Times New Roman"/>
              </w:rPr>
            </w:pPr>
          </w:p>
          <w:p w:rsidR="007545B0" w:rsidRDefault="007545B0">
            <w:pPr>
              <w:pStyle w:val="a00"/>
              <w:rPr>
                <w:rFonts w:ascii="Times New Roman" w:hAnsi="Times New Roman"/>
              </w:rPr>
            </w:pPr>
          </w:p>
          <w:p w:rsidR="007545B0" w:rsidRDefault="007545B0">
            <w:pPr>
              <w:pStyle w:val="a00"/>
              <w:rPr>
                <w:rFonts w:ascii="Times New Roman" w:hAnsi="Times New Roman"/>
              </w:rPr>
            </w:pPr>
            <w:r>
              <w:rPr>
                <w:rFonts w:ascii="Times New Roman" w:hAnsi="Times New Roman"/>
              </w:rPr>
              <w:t>Проект</w:t>
            </w:r>
          </w:p>
          <w:p w:rsidR="007545B0" w:rsidRDefault="007545B0">
            <w:pPr>
              <w:pStyle w:val="a00"/>
              <w:ind w:left="6997"/>
              <w:rPr>
                <w:rFonts w:ascii="Times New Roman" w:hAnsi="Times New Roman"/>
              </w:rPr>
            </w:pPr>
          </w:p>
          <w:p w:rsidR="007545B0" w:rsidRDefault="007545B0">
            <w:pPr>
              <w:pStyle w:val="a00"/>
              <w:ind w:left="6997"/>
              <w:jc w:val="center"/>
              <w:rPr>
                <w:rFonts w:ascii="Times New Roman" w:hAnsi="Times New Roman"/>
              </w:rPr>
            </w:pPr>
          </w:p>
        </w:tc>
      </w:tr>
      <w:tr w:rsidR="007545B0" w:rsidTr="007545B0">
        <w:trPr>
          <w:cantSplit/>
          <w:trHeight w:val="2133"/>
          <w:jc w:val="center"/>
        </w:trPr>
        <w:tc>
          <w:tcPr>
            <w:tcW w:w="10870" w:type="dxa"/>
          </w:tcPr>
          <w:p w:rsidR="007545B0" w:rsidRDefault="007545B0">
            <w:pPr>
              <w:spacing w:line="360" w:lineRule="auto"/>
              <w:jc w:val="center"/>
              <w:rPr>
                <w:rFonts w:ascii="Times New Roman" w:hAnsi="Times New Roman"/>
              </w:rPr>
            </w:pPr>
          </w:p>
          <w:p w:rsidR="007545B0" w:rsidRDefault="007545B0">
            <w:pPr>
              <w:spacing w:line="360" w:lineRule="auto"/>
              <w:jc w:val="center"/>
              <w:rPr>
                <w:rFonts w:ascii="Times New Roman" w:hAnsi="Times New Roman"/>
                <w:b/>
                <w:bCs/>
              </w:rPr>
            </w:pPr>
          </w:p>
          <w:p w:rsidR="007545B0" w:rsidRDefault="007545B0">
            <w:pPr>
              <w:spacing w:line="360" w:lineRule="auto"/>
              <w:jc w:val="center"/>
              <w:rPr>
                <w:rFonts w:ascii="Times New Roman" w:hAnsi="Times New Roman"/>
                <w:b/>
                <w:bCs/>
              </w:rPr>
            </w:pPr>
          </w:p>
          <w:p w:rsidR="007545B0" w:rsidRDefault="007545B0">
            <w:pPr>
              <w:spacing w:line="360" w:lineRule="auto"/>
              <w:jc w:val="center"/>
              <w:rPr>
                <w:rFonts w:ascii="Times New Roman" w:hAnsi="Times New Roman"/>
                <w:b/>
                <w:bCs/>
              </w:rPr>
            </w:pPr>
            <w:r>
              <w:rPr>
                <w:rFonts w:ascii="Times New Roman" w:hAnsi="Times New Roman"/>
                <w:b/>
                <w:bCs/>
              </w:rPr>
              <w:t>ФЕДЕРАЛЬНЫЙ ЗАКОН</w:t>
            </w:r>
          </w:p>
          <w:p w:rsidR="007545B0" w:rsidRDefault="007545B0">
            <w:pPr>
              <w:spacing w:line="360" w:lineRule="auto"/>
              <w:jc w:val="center"/>
              <w:rPr>
                <w:rFonts w:ascii="Times New Roman" w:hAnsi="Times New Roman"/>
                <w:b/>
                <w:bCs/>
              </w:rPr>
            </w:pPr>
          </w:p>
          <w:p w:rsidR="007545B0" w:rsidRDefault="007545B0">
            <w:pPr>
              <w:spacing w:line="360" w:lineRule="auto"/>
              <w:jc w:val="center"/>
              <w:rPr>
                <w:rFonts w:ascii="Times New Roman" w:hAnsi="Times New Roman"/>
                <w:b/>
                <w:bCs/>
              </w:rPr>
            </w:pPr>
          </w:p>
          <w:p w:rsidR="007545B0" w:rsidRDefault="007545B0">
            <w:pPr>
              <w:spacing w:line="360" w:lineRule="auto"/>
              <w:jc w:val="center"/>
              <w:rPr>
                <w:rFonts w:ascii="Times New Roman" w:hAnsi="Times New Roman"/>
                <w:b/>
                <w:bCs/>
              </w:rPr>
            </w:pPr>
          </w:p>
          <w:p w:rsidR="007545B0" w:rsidRDefault="007545B0">
            <w:pPr>
              <w:spacing w:line="360" w:lineRule="auto"/>
              <w:jc w:val="center"/>
              <w:rPr>
                <w:rFonts w:ascii="Times New Roman" w:hAnsi="Times New Roman"/>
                <w:b/>
                <w:bCs/>
              </w:rPr>
            </w:pPr>
          </w:p>
          <w:p w:rsidR="007545B0" w:rsidRDefault="007545B0">
            <w:pPr>
              <w:spacing w:line="360" w:lineRule="auto"/>
              <w:jc w:val="center"/>
              <w:rPr>
                <w:rFonts w:ascii="Times New Roman" w:hAnsi="Times New Roman"/>
                <w:b/>
                <w:bCs/>
              </w:rPr>
            </w:pPr>
          </w:p>
          <w:p w:rsidR="007545B0" w:rsidRDefault="007545B0">
            <w:pPr>
              <w:spacing w:line="360" w:lineRule="auto"/>
              <w:jc w:val="center"/>
              <w:rPr>
                <w:rFonts w:ascii="Times New Roman" w:hAnsi="Times New Roman"/>
                <w:b/>
                <w:bCs/>
                <w:spacing w:val="30"/>
              </w:rPr>
            </w:pPr>
          </w:p>
        </w:tc>
      </w:tr>
    </w:tbl>
    <w:p w:rsidR="007545B0" w:rsidRDefault="007545B0" w:rsidP="007545B0">
      <w:pPr>
        <w:pStyle w:val="1"/>
        <w:spacing w:before="0"/>
        <w:rPr>
          <w:rFonts w:ascii="Times New Roman" w:eastAsia="Times New Roman" w:hAnsi="Times New Roman"/>
        </w:rPr>
      </w:pPr>
    </w:p>
    <w:p w:rsidR="007545B0" w:rsidRDefault="007545B0" w:rsidP="007545B0">
      <w:pPr>
        <w:pStyle w:val="1"/>
        <w:spacing w:before="0"/>
        <w:rPr>
          <w:rFonts w:ascii="Times New Roman" w:eastAsia="Times New Roman" w:hAnsi="Times New Roman"/>
        </w:rPr>
      </w:pPr>
    </w:p>
    <w:p w:rsidR="007545B0" w:rsidRDefault="007545B0" w:rsidP="007545B0">
      <w:pPr>
        <w:pStyle w:val="1"/>
        <w:spacing w:before="0"/>
        <w:rPr>
          <w:rFonts w:ascii="Times New Roman" w:eastAsia="Times New Roman" w:hAnsi="Times New Roman"/>
        </w:rPr>
      </w:pPr>
      <w:r>
        <w:rPr>
          <w:rFonts w:ascii="Times New Roman" w:eastAsia="Times New Roman" w:hAnsi="Times New Roman"/>
        </w:rPr>
        <w:t xml:space="preserve">О внесении изменения в Уголовно-процессуальный кодекс </w:t>
      </w:r>
    </w:p>
    <w:p w:rsidR="007545B0" w:rsidRDefault="007545B0" w:rsidP="007545B0">
      <w:pPr>
        <w:pStyle w:val="1"/>
        <w:spacing w:before="0"/>
        <w:rPr>
          <w:rFonts w:ascii="Times New Roman" w:eastAsia="Times New Roman" w:hAnsi="Times New Roman"/>
        </w:rPr>
      </w:pPr>
      <w:r>
        <w:rPr>
          <w:rFonts w:ascii="Times New Roman" w:eastAsia="Times New Roman" w:hAnsi="Times New Roman"/>
        </w:rPr>
        <w:t>Российской Федерации</w:t>
      </w:r>
    </w:p>
    <w:p w:rsidR="007545B0" w:rsidRDefault="007545B0" w:rsidP="007545B0">
      <w:pPr>
        <w:pStyle w:val="2"/>
        <w:spacing w:line="300" w:lineRule="auto"/>
        <w:rPr>
          <w:rFonts w:ascii="Times New Roman" w:eastAsia="Times New Roman" w:hAnsi="Times New Roman"/>
        </w:rPr>
      </w:pPr>
    </w:p>
    <w:p w:rsidR="007545B0" w:rsidRDefault="007545B0" w:rsidP="007545B0">
      <w:pPr>
        <w:pStyle w:val="2"/>
        <w:rPr>
          <w:rFonts w:ascii="Times New Roman" w:eastAsia="Times New Roman" w:hAnsi="Times New Roman"/>
        </w:rPr>
      </w:pPr>
    </w:p>
    <w:p w:rsidR="007545B0" w:rsidRDefault="007545B0" w:rsidP="007545B0">
      <w:pPr>
        <w:ind w:right="282"/>
        <w:rPr>
          <w:rFonts w:ascii="Times New Roman" w:hAnsi="Times New Roman"/>
        </w:rPr>
      </w:pPr>
      <w:proofErr w:type="gramStart"/>
      <w:r>
        <w:rPr>
          <w:rFonts w:ascii="Times New Roman" w:hAnsi="Times New Roman"/>
        </w:rPr>
        <w:t>Внести  в  Уголовно-процессуальный кодекс Российской Федерации (Собрание законодательства Российской Федерации, 2001, № 52, ст. 4921; 2002, № 22, ст. 2027; 2003, № 27, ст. 2706; 2006, № 31, ст. 3452; 2007, № 24, ст. 2830; № 31, ст. 4011; № 50, ст. 6235, 6236; 2008, № 49, ст. 5724; 2010, № 27, ст. 3427; № 30, ст. 4003; 2011, № 1, ст. 16;</w:t>
      </w:r>
      <w:proofErr w:type="gramEnd"/>
      <w:r>
        <w:rPr>
          <w:rFonts w:ascii="Times New Roman" w:hAnsi="Times New Roman"/>
        </w:rPr>
        <w:t xml:space="preserve"> № </w:t>
      </w:r>
      <w:proofErr w:type="gramStart"/>
      <w:r>
        <w:rPr>
          <w:rFonts w:ascii="Times New Roman" w:hAnsi="Times New Roman"/>
        </w:rPr>
        <w:t>29, ст. 4286; 2012, № 31, ст. 4332; 2013, № 9, ст. 875; № 17, ст. 2031; № 48, ст. 6165; № 52, ст. 6997; 2014, № 16, ст. 1833) изменение, дополнив  его статьей 163</w:t>
      </w:r>
      <w:r>
        <w:rPr>
          <w:rFonts w:ascii="Times New Roman" w:hAnsi="Times New Roman"/>
          <w:vertAlign w:val="superscript"/>
        </w:rPr>
        <w:t>1</w:t>
      </w:r>
      <w:r>
        <w:rPr>
          <w:rFonts w:ascii="Times New Roman" w:hAnsi="Times New Roman"/>
        </w:rPr>
        <w:t xml:space="preserve"> следующего содержания:</w:t>
      </w:r>
      <w:proofErr w:type="gramEnd"/>
    </w:p>
    <w:p w:rsidR="007545B0" w:rsidRDefault="007545B0" w:rsidP="007545B0">
      <w:pPr>
        <w:ind w:right="282"/>
        <w:rPr>
          <w:rFonts w:ascii="Times New Roman" w:hAnsi="Times New Roman"/>
        </w:rPr>
      </w:pPr>
      <w:r>
        <w:rPr>
          <w:rFonts w:ascii="Times New Roman" w:hAnsi="Times New Roman"/>
        </w:rPr>
        <w:lastRenderedPageBreak/>
        <w:t>"Статья 163</w:t>
      </w:r>
      <w:r>
        <w:rPr>
          <w:rFonts w:ascii="Times New Roman" w:hAnsi="Times New Roman"/>
          <w:vertAlign w:val="superscript"/>
        </w:rPr>
        <w:t>1</w:t>
      </w:r>
      <w:r>
        <w:rPr>
          <w:rFonts w:ascii="Times New Roman" w:hAnsi="Times New Roman"/>
        </w:rPr>
        <w:t>. Производство предварительного следствия межведомственной следственной группой</w:t>
      </w:r>
    </w:p>
    <w:p w:rsidR="007545B0" w:rsidRDefault="007545B0" w:rsidP="007545B0">
      <w:pPr>
        <w:ind w:right="282"/>
        <w:rPr>
          <w:rFonts w:ascii="Times New Roman" w:hAnsi="Times New Roman"/>
        </w:rPr>
      </w:pPr>
      <w:r>
        <w:rPr>
          <w:rFonts w:ascii="Times New Roman" w:hAnsi="Times New Roman"/>
        </w:rPr>
        <w:t xml:space="preserve">1. Производство предварительного следствия по уголовным делам о тяжких и особо тяжких преступлениях против общественной безопасности и общественного порядка может быть поручено межведомственной следственной группе в составе следователей Следственного комитета Российской Федерации, органов внутренних дел и следователей органов по </w:t>
      </w:r>
      <w:proofErr w:type="gramStart"/>
      <w:r>
        <w:rPr>
          <w:rFonts w:ascii="Times New Roman" w:hAnsi="Times New Roman"/>
        </w:rPr>
        <w:t>контролю за</w:t>
      </w:r>
      <w:proofErr w:type="gramEnd"/>
      <w:r>
        <w:rPr>
          <w:rFonts w:ascii="Times New Roman" w:hAnsi="Times New Roman"/>
        </w:rPr>
        <w:t xml:space="preserve"> оборотом наркотических средств и психотропных веществ. Следователи органов федеральной службы безопасности включаются в состав межведомственной следственной группы при расследовании преступлений, отнесенных </w:t>
      </w:r>
      <w:proofErr w:type="gramStart"/>
      <w:r>
        <w:rPr>
          <w:rFonts w:ascii="Times New Roman" w:hAnsi="Times New Roman"/>
        </w:rPr>
        <w:t>к</w:t>
      </w:r>
      <w:proofErr w:type="gramEnd"/>
      <w:r>
        <w:rPr>
          <w:rFonts w:ascii="Times New Roman" w:hAnsi="Times New Roman"/>
        </w:rPr>
        <w:t xml:space="preserve"> их </w:t>
      </w:r>
      <w:proofErr w:type="spellStart"/>
      <w:r>
        <w:rPr>
          <w:rFonts w:ascii="Times New Roman" w:hAnsi="Times New Roman"/>
        </w:rPr>
        <w:t>подследственности</w:t>
      </w:r>
      <w:proofErr w:type="spellEnd"/>
      <w:r>
        <w:rPr>
          <w:rFonts w:ascii="Times New Roman" w:hAnsi="Times New Roman"/>
        </w:rPr>
        <w:t xml:space="preserve"> в соответствии с требованиями статьи 151 настоящего Кодекса. </w:t>
      </w:r>
    </w:p>
    <w:p w:rsidR="007545B0" w:rsidRDefault="007545B0" w:rsidP="007545B0">
      <w:pPr>
        <w:ind w:right="282"/>
        <w:rPr>
          <w:rFonts w:ascii="Times New Roman" w:hAnsi="Times New Roman"/>
        </w:rPr>
      </w:pPr>
      <w:r>
        <w:rPr>
          <w:rFonts w:ascii="Times New Roman" w:hAnsi="Times New Roman"/>
        </w:rPr>
        <w:t>2. </w:t>
      </w:r>
      <w:proofErr w:type="gramStart"/>
      <w:r>
        <w:rPr>
          <w:rFonts w:ascii="Times New Roman" w:hAnsi="Times New Roman"/>
        </w:rPr>
        <w:t>Решение о производстве предварительного следствия межведомственной следственной группой принимает Председатель Следственного комитета Российской Федерации, заместители Председателя Следственного комитета Российской Федерации, руководитель Главного следственного управления Следственного комитета Российской Федерации или руководители  главных  следственных  управлений  и  следственных  управлений Следственного комитета  по субъектам Российской Федерации и приравненных к ним специализированных следственных управлений и следственных отделов Следственного комитета по согласованию с руководителями соответствующих следственных</w:t>
      </w:r>
      <w:proofErr w:type="gramEnd"/>
      <w:r>
        <w:rPr>
          <w:rFonts w:ascii="Times New Roman" w:hAnsi="Times New Roman"/>
        </w:rPr>
        <w:t xml:space="preserve"> органов внутренних дел и </w:t>
      </w:r>
      <w:proofErr w:type="gramStart"/>
      <w:r>
        <w:rPr>
          <w:rFonts w:ascii="Times New Roman" w:hAnsi="Times New Roman"/>
        </w:rPr>
        <w:t>контролю за</w:t>
      </w:r>
      <w:proofErr w:type="gramEnd"/>
      <w:r>
        <w:rPr>
          <w:rFonts w:ascii="Times New Roman" w:hAnsi="Times New Roman"/>
        </w:rPr>
        <w:t xml:space="preserve"> оборотом наркотических средств и психотропных веществ, а в случаях, указанных в части первой настоящей статьи, с руководителем следственного органа федеральной службы безопасности. В постановлении о создании межведомственной следственной группы должны быть перечислены все следователи, которым поручено производство предварительного </w:t>
      </w:r>
      <w:r>
        <w:rPr>
          <w:rFonts w:ascii="Times New Roman" w:hAnsi="Times New Roman"/>
        </w:rPr>
        <w:lastRenderedPageBreak/>
        <w:t>следствия, в том числе указывается руководитель межведомственной следственной группы. К работе межведомственной следственной группы могут быть привлечены должностные лица органов, осуществляющих оперативно-розыскную деятельность. Состав межведомственной следственной группы объявляется подозреваемому, обвиняемому.</w:t>
      </w:r>
    </w:p>
    <w:p w:rsidR="007545B0" w:rsidRDefault="007545B0" w:rsidP="007545B0">
      <w:pPr>
        <w:ind w:right="282"/>
        <w:rPr>
          <w:rFonts w:ascii="Times New Roman" w:hAnsi="Times New Roman"/>
        </w:rPr>
      </w:pPr>
      <w:r>
        <w:rPr>
          <w:rFonts w:ascii="Times New Roman" w:hAnsi="Times New Roman"/>
        </w:rPr>
        <w:t>3. Руководитель межведомственной следственной группы наряду с полномочиями, предусмотренными частями третьей и четвертой статьи 163 настоящего Кодекса, вправе:</w:t>
      </w:r>
    </w:p>
    <w:p w:rsidR="007545B0" w:rsidRDefault="007545B0" w:rsidP="007545B0">
      <w:pPr>
        <w:ind w:right="282"/>
        <w:rPr>
          <w:rFonts w:ascii="Times New Roman" w:hAnsi="Times New Roman"/>
        </w:rPr>
      </w:pPr>
      <w:proofErr w:type="gramStart"/>
      <w:r>
        <w:rPr>
          <w:rFonts w:ascii="Times New Roman" w:hAnsi="Times New Roman"/>
        </w:rPr>
        <w:t>1) руководить следователями, включенными в состав межведомственной следственной группы, независимо от их ведомственной принадлежности и распределять обязанности между ними в соответствии с требованиями уголовно-процессуального законодательства;</w:t>
      </w:r>
      <w:proofErr w:type="gramEnd"/>
    </w:p>
    <w:p w:rsidR="007545B0" w:rsidRDefault="007545B0" w:rsidP="007545B0">
      <w:pPr>
        <w:ind w:right="282"/>
        <w:rPr>
          <w:rFonts w:ascii="Times New Roman" w:hAnsi="Times New Roman"/>
        </w:rPr>
      </w:pPr>
      <w:r>
        <w:rPr>
          <w:rFonts w:ascii="Times New Roman" w:hAnsi="Times New Roman"/>
        </w:rPr>
        <w:t>2) определять сроки пребывания следователей в составе межведомственной следственной группы, порядок их замены по согласованию с руководителями следственных органов правоохранительных органов, исходя из решения конкретных задач;</w:t>
      </w:r>
    </w:p>
    <w:p w:rsidR="007545B0" w:rsidRDefault="007545B0" w:rsidP="007545B0">
      <w:pPr>
        <w:ind w:right="282"/>
        <w:rPr>
          <w:rFonts w:ascii="Times New Roman" w:hAnsi="Times New Roman"/>
        </w:rPr>
      </w:pPr>
      <w:r>
        <w:rPr>
          <w:rFonts w:ascii="Times New Roman" w:hAnsi="Times New Roman"/>
        </w:rPr>
        <w:t>3) согласовывать с руководителями следственных органов необходимые меры по материально-техническому и финансовому обеспечению деятельности межведомственной следственной группы;</w:t>
      </w:r>
    </w:p>
    <w:p w:rsidR="007545B0" w:rsidRDefault="007545B0" w:rsidP="007545B0">
      <w:pPr>
        <w:ind w:right="282"/>
        <w:rPr>
          <w:rFonts w:ascii="Times New Roman" w:hAnsi="Times New Roman"/>
        </w:rPr>
      </w:pPr>
      <w:r>
        <w:rPr>
          <w:rFonts w:ascii="Times New Roman" w:hAnsi="Times New Roman"/>
        </w:rPr>
        <w:t xml:space="preserve">4) составлять с привлечением следователей и сотрудников оперативных подразделений, привлеченных к расследованию преступления, план совместных следственных действий и оперативно-розыскных мероприятий и осуществлять </w:t>
      </w:r>
      <w:proofErr w:type="gramStart"/>
      <w:r>
        <w:rPr>
          <w:rFonts w:ascii="Times New Roman" w:hAnsi="Times New Roman"/>
        </w:rPr>
        <w:t>контроль за</w:t>
      </w:r>
      <w:proofErr w:type="gramEnd"/>
      <w:r>
        <w:rPr>
          <w:rFonts w:ascii="Times New Roman" w:hAnsi="Times New Roman"/>
        </w:rPr>
        <w:t xml:space="preserve"> ходом выполнения запланированных мероприятий.</w:t>
      </w:r>
    </w:p>
    <w:p w:rsidR="007545B0" w:rsidRDefault="007545B0" w:rsidP="007545B0">
      <w:pPr>
        <w:ind w:right="282"/>
        <w:rPr>
          <w:rFonts w:ascii="Times New Roman" w:hAnsi="Times New Roman"/>
        </w:rPr>
      </w:pPr>
      <w:r>
        <w:rPr>
          <w:rFonts w:ascii="Times New Roman" w:hAnsi="Times New Roman"/>
        </w:rPr>
        <w:t>4. Взаимодействие межведомственной следственной группы с правоохранительными органами других государств осуществляется в порядке, предусмотренном главами 53 и 54 настоящего Кодекса".</w:t>
      </w:r>
    </w:p>
    <w:p w:rsidR="007545B0" w:rsidRDefault="007545B0" w:rsidP="007545B0">
      <w:pPr>
        <w:pStyle w:val="a3"/>
        <w:ind w:right="282"/>
        <w:rPr>
          <w:rFonts w:ascii="Times New Roman" w:hAnsi="Times New Roman"/>
        </w:rPr>
      </w:pPr>
    </w:p>
    <w:p w:rsidR="007545B0" w:rsidRDefault="007545B0" w:rsidP="007545B0">
      <w:pPr>
        <w:pStyle w:val="a3"/>
        <w:ind w:right="282"/>
        <w:rPr>
          <w:rFonts w:ascii="Times New Roman" w:hAnsi="Times New Roman"/>
        </w:rPr>
      </w:pPr>
    </w:p>
    <w:p w:rsidR="007545B0" w:rsidRDefault="007545B0" w:rsidP="007545B0">
      <w:pPr>
        <w:pStyle w:val="a3"/>
        <w:ind w:right="282"/>
        <w:rPr>
          <w:rFonts w:ascii="Times New Roman" w:hAnsi="Times New Roman"/>
        </w:rPr>
      </w:pPr>
    </w:p>
    <w:p w:rsidR="007545B0" w:rsidRDefault="007545B0" w:rsidP="007545B0">
      <w:pPr>
        <w:pStyle w:val="a3"/>
        <w:ind w:right="282"/>
        <w:rPr>
          <w:rFonts w:ascii="Times New Roman" w:hAnsi="Times New Roman"/>
        </w:rPr>
      </w:pPr>
      <w:r>
        <w:rPr>
          <w:rFonts w:ascii="Times New Roman" w:hAnsi="Times New Roman"/>
        </w:rPr>
        <w:t xml:space="preserve">         </w:t>
      </w:r>
    </w:p>
    <w:p w:rsidR="007545B0" w:rsidRDefault="007545B0" w:rsidP="007545B0">
      <w:pPr>
        <w:pStyle w:val="a3"/>
        <w:ind w:right="282"/>
        <w:rPr>
          <w:rFonts w:ascii="Times New Roman" w:hAnsi="Times New Roman"/>
        </w:rPr>
      </w:pPr>
      <w:r>
        <w:rPr>
          <w:rFonts w:ascii="Times New Roman" w:hAnsi="Times New Roman"/>
        </w:rPr>
        <w:t>            Президент</w:t>
      </w:r>
      <w:r>
        <w:rPr>
          <w:rFonts w:ascii="Times New Roman" w:hAnsi="Times New Roman"/>
        </w:rPr>
        <w:br/>
        <w:t>            Российской Федерации</w:t>
      </w:r>
    </w:p>
    <w:p w:rsidR="008764CF" w:rsidRDefault="008764CF">
      <w:bookmarkStart w:id="0" w:name="_GoBack"/>
      <w:bookmarkEnd w:id="0"/>
    </w:p>
    <w:sectPr w:rsidR="00876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THarmonica">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85F"/>
    <w:rsid w:val="0001598A"/>
    <w:rsid w:val="001E65A6"/>
    <w:rsid w:val="002763E6"/>
    <w:rsid w:val="00340B96"/>
    <w:rsid w:val="004407F5"/>
    <w:rsid w:val="00494FE4"/>
    <w:rsid w:val="00596944"/>
    <w:rsid w:val="005F11B1"/>
    <w:rsid w:val="005F185F"/>
    <w:rsid w:val="006F7000"/>
    <w:rsid w:val="007545B0"/>
    <w:rsid w:val="00791391"/>
    <w:rsid w:val="008764CF"/>
    <w:rsid w:val="00B22EB9"/>
    <w:rsid w:val="00CD093A"/>
    <w:rsid w:val="00F90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5B0"/>
    <w:pPr>
      <w:overflowPunct w:val="0"/>
      <w:autoSpaceDE w:val="0"/>
      <w:autoSpaceDN w:val="0"/>
      <w:spacing w:after="0" w:line="480" w:lineRule="atLeast"/>
      <w:ind w:left="567" w:firstLine="851"/>
      <w:jc w:val="both"/>
    </w:pPr>
    <w:rPr>
      <w:rFonts w:ascii="NTHarmonica" w:hAnsi="NTHarmonica" w:cs="Times New Roman"/>
      <w:sz w:val="28"/>
      <w:szCs w:val="28"/>
      <w:lang w:eastAsia="ru-RU"/>
    </w:rPr>
  </w:style>
  <w:style w:type="paragraph" w:styleId="1">
    <w:name w:val="heading 1"/>
    <w:basedOn w:val="a"/>
    <w:link w:val="10"/>
    <w:uiPriority w:val="9"/>
    <w:qFormat/>
    <w:rsid w:val="007545B0"/>
    <w:pPr>
      <w:spacing w:before="720" w:line="240" w:lineRule="auto"/>
      <w:ind w:firstLine="0"/>
      <w:jc w:val="center"/>
      <w:outlineLvl w:val="0"/>
    </w:pPr>
    <w:rPr>
      <w:b/>
      <w:bCs/>
      <w:kern w:val="36"/>
    </w:rPr>
  </w:style>
  <w:style w:type="paragraph" w:styleId="2">
    <w:name w:val="heading 2"/>
    <w:basedOn w:val="a"/>
    <w:link w:val="20"/>
    <w:uiPriority w:val="9"/>
    <w:semiHidden/>
    <w:unhideWhenUsed/>
    <w:qFormat/>
    <w:rsid w:val="007545B0"/>
    <w:pPr>
      <w:spacing w:line="240" w:lineRule="auto"/>
      <w:ind w:left="0" w:firstLine="0"/>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5B0"/>
    <w:rPr>
      <w:rFonts w:ascii="NTHarmonica" w:hAnsi="NTHarmonica" w:cs="Times New Roman"/>
      <w:b/>
      <w:bCs/>
      <w:kern w:val="36"/>
      <w:sz w:val="28"/>
      <w:szCs w:val="28"/>
      <w:lang w:eastAsia="ru-RU"/>
    </w:rPr>
  </w:style>
  <w:style w:type="character" w:customStyle="1" w:styleId="20">
    <w:name w:val="Заголовок 2 Знак"/>
    <w:basedOn w:val="a0"/>
    <w:link w:val="2"/>
    <w:uiPriority w:val="9"/>
    <w:semiHidden/>
    <w:rsid w:val="007545B0"/>
    <w:rPr>
      <w:rFonts w:ascii="NTHarmonica" w:hAnsi="NTHarmonica" w:cs="Times New Roman"/>
      <w:b/>
      <w:bCs/>
      <w:sz w:val="28"/>
      <w:szCs w:val="28"/>
      <w:lang w:eastAsia="ru-RU"/>
    </w:rPr>
  </w:style>
  <w:style w:type="paragraph" w:customStyle="1" w:styleId="a3">
    <w:name w:val="a"/>
    <w:basedOn w:val="a"/>
    <w:rsid w:val="007545B0"/>
    <w:pPr>
      <w:spacing w:line="240" w:lineRule="auto"/>
      <w:ind w:right="5954" w:firstLine="0"/>
      <w:jc w:val="left"/>
    </w:pPr>
  </w:style>
  <w:style w:type="paragraph" w:customStyle="1" w:styleId="a00">
    <w:name w:val="a0"/>
    <w:basedOn w:val="a"/>
    <w:rsid w:val="007545B0"/>
    <w:pPr>
      <w:spacing w:line="240" w:lineRule="auto"/>
      <w:ind w:left="5103"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5B0"/>
    <w:pPr>
      <w:overflowPunct w:val="0"/>
      <w:autoSpaceDE w:val="0"/>
      <w:autoSpaceDN w:val="0"/>
      <w:spacing w:after="0" w:line="480" w:lineRule="atLeast"/>
      <w:ind w:left="567" w:firstLine="851"/>
      <w:jc w:val="both"/>
    </w:pPr>
    <w:rPr>
      <w:rFonts w:ascii="NTHarmonica" w:hAnsi="NTHarmonica" w:cs="Times New Roman"/>
      <w:sz w:val="28"/>
      <w:szCs w:val="28"/>
      <w:lang w:eastAsia="ru-RU"/>
    </w:rPr>
  </w:style>
  <w:style w:type="paragraph" w:styleId="1">
    <w:name w:val="heading 1"/>
    <w:basedOn w:val="a"/>
    <w:link w:val="10"/>
    <w:uiPriority w:val="9"/>
    <w:qFormat/>
    <w:rsid w:val="007545B0"/>
    <w:pPr>
      <w:spacing w:before="720" w:line="240" w:lineRule="auto"/>
      <w:ind w:firstLine="0"/>
      <w:jc w:val="center"/>
      <w:outlineLvl w:val="0"/>
    </w:pPr>
    <w:rPr>
      <w:b/>
      <w:bCs/>
      <w:kern w:val="36"/>
    </w:rPr>
  </w:style>
  <w:style w:type="paragraph" w:styleId="2">
    <w:name w:val="heading 2"/>
    <w:basedOn w:val="a"/>
    <w:link w:val="20"/>
    <w:uiPriority w:val="9"/>
    <w:semiHidden/>
    <w:unhideWhenUsed/>
    <w:qFormat/>
    <w:rsid w:val="007545B0"/>
    <w:pPr>
      <w:spacing w:line="240" w:lineRule="auto"/>
      <w:ind w:left="0" w:firstLine="0"/>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5B0"/>
    <w:rPr>
      <w:rFonts w:ascii="NTHarmonica" w:hAnsi="NTHarmonica" w:cs="Times New Roman"/>
      <w:b/>
      <w:bCs/>
      <w:kern w:val="36"/>
      <w:sz w:val="28"/>
      <w:szCs w:val="28"/>
      <w:lang w:eastAsia="ru-RU"/>
    </w:rPr>
  </w:style>
  <w:style w:type="character" w:customStyle="1" w:styleId="20">
    <w:name w:val="Заголовок 2 Знак"/>
    <w:basedOn w:val="a0"/>
    <w:link w:val="2"/>
    <w:uiPriority w:val="9"/>
    <w:semiHidden/>
    <w:rsid w:val="007545B0"/>
    <w:rPr>
      <w:rFonts w:ascii="NTHarmonica" w:hAnsi="NTHarmonica" w:cs="Times New Roman"/>
      <w:b/>
      <w:bCs/>
      <w:sz w:val="28"/>
      <w:szCs w:val="28"/>
      <w:lang w:eastAsia="ru-RU"/>
    </w:rPr>
  </w:style>
  <w:style w:type="paragraph" w:customStyle="1" w:styleId="a3">
    <w:name w:val="a"/>
    <w:basedOn w:val="a"/>
    <w:rsid w:val="007545B0"/>
    <w:pPr>
      <w:spacing w:line="240" w:lineRule="auto"/>
      <w:ind w:right="5954" w:firstLine="0"/>
      <w:jc w:val="left"/>
    </w:pPr>
  </w:style>
  <w:style w:type="paragraph" w:customStyle="1" w:styleId="a00">
    <w:name w:val="a0"/>
    <w:basedOn w:val="a"/>
    <w:rsid w:val="007545B0"/>
    <w:pPr>
      <w:spacing w:line="240" w:lineRule="auto"/>
      <w:ind w:left="5103"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5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Сосновский Дмитрий</dc:creator>
  <cp:keywords/>
  <dc:description/>
  <cp:lastModifiedBy>Сосновский Дмитрий</cp:lastModifiedBy>
  <cp:revision>3</cp:revision>
  <dcterms:created xsi:type="dcterms:W3CDTF">2015-03-03T18:40:00Z</dcterms:created>
  <dcterms:modified xsi:type="dcterms:W3CDTF">2015-03-03T18:41:00Z</dcterms:modified>
</cp:coreProperties>
</file>